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103"/>
        <w:gridCol w:w="24"/>
        <w:gridCol w:w="3523"/>
        <w:gridCol w:w="254"/>
        <w:gridCol w:w="2035"/>
        <w:gridCol w:w="1667"/>
      </w:tblGrid>
      <w:tr w:rsidR="00AE72C5" w:rsidTr="00A93E77">
        <w:trPr>
          <w:trHeight w:val="558"/>
        </w:trPr>
        <w:tc>
          <w:tcPr>
            <w:tcW w:w="9606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562D77" w:rsidRDefault="00AE72C5" w:rsidP="00AE72C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562D77">
              <w:rPr>
                <w:rFonts w:asciiTheme="minorHAnsi" w:hAnsiTheme="minorHAnsi" w:cstheme="minorHAnsi"/>
              </w:rPr>
              <w:t>financovaného z </w:t>
            </w:r>
            <w:r w:rsidR="00E71CB7" w:rsidRPr="00562D77">
              <w:rPr>
                <w:rFonts w:asciiTheme="minorHAnsi" w:hAnsiTheme="minorHAnsi" w:cstheme="minorHAnsi"/>
              </w:rPr>
              <w:t>O</w:t>
            </w:r>
            <w:r w:rsidRPr="00562D77">
              <w:rPr>
                <w:rFonts w:asciiTheme="minorHAnsi" w:hAnsiTheme="minorHAnsi" w:cstheme="minorHAnsi"/>
              </w:rPr>
              <w:t xml:space="preserve">peračního programu </w:t>
            </w:r>
            <w:r w:rsidR="00E71CB7" w:rsidRPr="00562D77">
              <w:rPr>
                <w:rFonts w:asciiTheme="minorHAnsi" w:hAnsiTheme="minorHAnsi" w:cstheme="minorHAnsi"/>
              </w:rPr>
              <w:t>V</w:t>
            </w:r>
            <w:r w:rsidRPr="00562D77">
              <w:rPr>
                <w:rFonts w:asciiTheme="minorHAnsi" w:hAnsiTheme="minorHAnsi" w:cstheme="minorHAnsi"/>
              </w:rPr>
              <w:t xml:space="preserve">ýzkum a vývoj pro inovace (OP </w:t>
            </w:r>
            <w:proofErr w:type="spellStart"/>
            <w:r w:rsidRPr="00562D77">
              <w:rPr>
                <w:rFonts w:asciiTheme="minorHAnsi" w:hAnsiTheme="minorHAnsi" w:cstheme="minorHAnsi"/>
              </w:rPr>
              <w:t>VaVpI</w:t>
            </w:r>
            <w:proofErr w:type="spellEnd"/>
            <w:r w:rsidRPr="00562D77">
              <w:rPr>
                <w:rFonts w:asciiTheme="minorHAnsi" w:hAnsiTheme="minorHAnsi" w:cstheme="minorHAnsi"/>
              </w:rPr>
              <w:t>)</w:t>
            </w:r>
          </w:p>
        </w:tc>
      </w:tr>
      <w:tr w:rsidR="0052281E" w:rsidTr="00A93E77">
        <w:trPr>
          <w:trHeight w:val="277"/>
        </w:trPr>
        <w:tc>
          <w:tcPr>
            <w:tcW w:w="9606" w:type="dxa"/>
            <w:gridSpan w:val="6"/>
            <w:shd w:val="clear" w:color="auto" w:fill="595959" w:themeFill="text1" w:themeFillTint="A6"/>
          </w:tcPr>
          <w:p w:rsidR="0052281E" w:rsidRPr="00562D77" w:rsidRDefault="0052281E" w:rsidP="005228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562D77">
              <w:rPr>
                <w:rFonts w:asciiTheme="minorHAnsi" w:hAnsiTheme="minorHAnsi" w:cstheme="minorHAnsi"/>
                <w:b/>
                <w:color w:val="FFFFFF" w:themeColor="background1"/>
                <w:szCs w:val="24"/>
              </w:rPr>
              <w:t>Faktografické údaje</w:t>
            </w:r>
          </w:p>
        </w:tc>
      </w:tr>
      <w:tr w:rsidR="00AE72C5" w:rsidTr="00A93E77">
        <w:trPr>
          <w:trHeight w:val="277"/>
        </w:trPr>
        <w:tc>
          <w:tcPr>
            <w:tcW w:w="2127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7479" w:type="dxa"/>
            <w:gridSpan w:val="4"/>
          </w:tcPr>
          <w:p w:rsidR="00AE72C5" w:rsidRPr="009967CD" w:rsidRDefault="003B70AF" w:rsidP="0052281E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Institut čistých technologií těžby a užití energetických surovin</w:t>
            </w:r>
          </w:p>
        </w:tc>
      </w:tr>
      <w:tr w:rsidR="00E71CB7" w:rsidTr="00A93E77">
        <w:trPr>
          <w:trHeight w:val="277"/>
        </w:trPr>
        <w:tc>
          <w:tcPr>
            <w:tcW w:w="2127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7479" w:type="dxa"/>
            <w:gridSpan w:val="4"/>
          </w:tcPr>
          <w:p w:rsidR="00E71CB7" w:rsidRPr="009967CD" w:rsidRDefault="00FE458C" w:rsidP="0052281E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Vysoká škola báňská – Technická univerzita Ostrava</w:t>
            </w:r>
          </w:p>
        </w:tc>
      </w:tr>
      <w:tr w:rsidR="00F74C5F" w:rsidTr="00A93E77">
        <w:trPr>
          <w:trHeight w:val="277"/>
        </w:trPr>
        <w:tc>
          <w:tcPr>
            <w:tcW w:w="2127" w:type="dxa"/>
            <w:gridSpan w:val="2"/>
          </w:tcPr>
          <w:p w:rsidR="00F74C5F" w:rsidRPr="00F74C5F" w:rsidRDefault="00FE458C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Registrační číslo projektu</w:t>
            </w:r>
          </w:p>
        </w:tc>
        <w:tc>
          <w:tcPr>
            <w:tcW w:w="7479" w:type="dxa"/>
            <w:gridSpan w:val="4"/>
          </w:tcPr>
          <w:p w:rsidR="00F74C5F" w:rsidRPr="009967CD" w:rsidRDefault="00FE458C" w:rsidP="003B70AF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CZ.1.05/2.1.00/</w:t>
            </w:r>
            <w:r w:rsidR="00642A7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="003B70A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</w:t>
            </w:r>
            <w:r w:rsidR="00642A7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00</w:t>
            </w:r>
            <w:r w:rsidR="003B70A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82</w:t>
            </w:r>
          </w:p>
        </w:tc>
      </w:tr>
      <w:tr w:rsidR="00F74C5F" w:rsidTr="00A93E77">
        <w:trPr>
          <w:trHeight w:val="277"/>
        </w:trPr>
        <w:tc>
          <w:tcPr>
            <w:tcW w:w="2127" w:type="dxa"/>
            <w:gridSpan w:val="2"/>
          </w:tcPr>
          <w:p w:rsidR="00F74C5F" w:rsidRPr="00F74C5F" w:rsidRDefault="00FE458C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7479" w:type="dxa"/>
            <w:gridSpan w:val="4"/>
          </w:tcPr>
          <w:p w:rsidR="00F74C5F" w:rsidRPr="009967CD" w:rsidRDefault="00FE458C" w:rsidP="0052281E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17. listopadu 15/2172, 708 00 Ostrava - Poruba</w:t>
            </w:r>
          </w:p>
        </w:tc>
      </w:tr>
      <w:tr w:rsidR="00FE458C" w:rsidTr="00A93E77">
        <w:trPr>
          <w:trHeight w:val="277"/>
        </w:trPr>
        <w:tc>
          <w:tcPr>
            <w:tcW w:w="2127" w:type="dxa"/>
            <w:gridSpan w:val="2"/>
          </w:tcPr>
          <w:p w:rsidR="00FE458C" w:rsidRPr="00F74C5F" w:rsidRDefault="00FE458C" w:rsidP="002D032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7479" w:type="dxa"/>
            <w:gridSpan w:val="4"/>
          </w:tcPr>
          <w:p w:rsidR="00FE458C" w:rsidRPr="009967CD" w:rsidRDefault="009967CD" w:rsidP="003A4D09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3A4D09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Výzva č. </w:t>
            </w:r>
            <w:r w:rsidR="003A4D09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.2 pro oblast podpory </w:t>
            </w:r>
            <w:r w:rsidR="00FE458C" w:rsidRPr="009967CD">
              <w:rPr>
                <w:rFonts w:asciiTheme="minorHAnsi" w:hAnsiTheme="minorHAnsi" w:cstheme="minorHAnsi"/>
                <w:sz w:val="18"/>
                <w:szCs w:val="18"/>
              </w:rPr>
              <w:t>2.1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="00FE458C" w:rsidRPr="009967CD">
              <w:rPr>
                <w:rFonts w:asciiTheme="minorHAnsi" w:hAnsiTheme="minorHAnsi" w:cstheme="minorHAnsi"/>
                <w:sz w:val="18"/>
                <w:szCs w:val="18"/>
              </w:rPr>
              <w:t xml:space="preserve">Regionální </w:t>
            </w:r>
            <w:proofErr w:type="spellStart"/>
            <w:r w:rsidR="00FE458C" w:rsidRPr="009967CD">
              <w:rPr>
                <w:rFonts w:asciiTheme="minorHAnsi" w:hAnsiTheme="minorHAnsi" w:cstheme="minorHAnsi"/>
                <w:sz w:val="18"/>
                <w:szCs w:val="18"/>
              </w:rPr>
              <w:t>VaV</w:t>
            </w:r>
            <w:proofErr w:type="spellEnd"/>
            <w:r w:rsidR="00FE458C" w:rsidRPr="009967CD">
              <w:rPr>
                <w:rFonts w:asciiTheme="minorHAnsi" w:hAnsiTheme="minorHAnsi" w:cstheme="minorHAnsi"/>
                <w:sz w:val="18"/>
                <w:szCs w:val="18"/>
              </w:rPr>
              <w:t xml:space="preserve"> centra</w:t>
            </w:r>
          </w:p>
        </w:tc>
      </w:tr>
      <w:tr w:rsidR="00F74C5F" w:rsidTr="00A93E77">
        <w:trPr>
          <w:trHeight w:val="277"/>
        </w:trPr>
        <w:tc>
          <w:tcPr>
            <w:tcW w:w="2127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7479" w:type="dxa"/>
            <w:gridSpan w:val="4"/>
          </w:tcPr>
          <w:p w:rsidR="00F74C5F" w:rsidRPr="009967CD" w:rsidRDefault="00DA1E36" w:rsidP="0052281E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20</w:t>
            </w:r>
            <w:r w:rsidR="003C50C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.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  <w:r w:rsidR="003C50C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</w:t>
            </w:r>
            <w:r w:rsidR="00562D77"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2010</w:t>
            </w:r>
          </w:p>
        </w:tc>
      </w:tr>
      <w:tr w:rsidR="00F74C5F" w:rsidTr="00390512">
        <w:trPr>
          <w:trHeight w:val="528"/>
        </w:trPr>
        <w:tc>
          <w:tcPr>
            <w:tcW w:w="2127" w:type="dxa"/>
            <w:gridSpan w:val="2"/>
          </w:tcPr>
          <w:p w:rsidR="00F74C5F" w:rsidRPr="00562D77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3777" w:type="dxa"/>
            <w:gridSpan w:val="2"/>
          </w:tcPr>
          <w:p w:rsidR="00F74C5F" w:rsidRPr="00562D77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 xml:space="preserve">Datum zahájení </w:t>
            </w:r>
          </w:p>
          <w:p w:rsidR="00390512" w:rsidRDefault="00F74C5F" w:rsidP="00390512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realizace projektu:</w:t>
            </w:r>
            <w:r w:rsidR="00E35E31"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:rsidR="00AA442B" w:rsidRPr="00562D77" w:rsidRDefault="003C50CA" w:rsidP="00390512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1. </w:t>
            </w:r>
            <w:r w:rsidR="00DA1E3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 201</w:t>
            </w:r>
            <w:r w:rsidR="00DA1E3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702" w:type="dxa"/>
            <w:gridSpan w:val="2"/>
          </w:tcPr>
          <w:p w:rsidR="00F74C5F" w:rsidRPr="00562D77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 xml:space="preserve">Datum ukončení </w:t>
            </w:r>
          </w:p>
          <w:p w:rsidR="00390512" w:rsidRDefault="00F74C5F" w:rsidP="00390512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realizace projektu</w:t>
            </w:r>
            <w:r w:rsidR="00526313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E35E31"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:rsidR="00F74C5F" w:rsidRPr="00562D77" w:rsidRDefault="00E35E31" w:rsidP="00390512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31. </w:t>
            </w:r>
            <w:r w:rsidR="00DA1E36">
              <w:rPr>
                <w:rFonts w:asciiTheme="minorHAnsi" w:hAnsiTheme="minorHAnsi" w:cstheme="minorHAnsi"/>
                <w:sz w:val="18"/>
              </w:rPr>
              <w:t>12. 2014</w:t>
            </w:r>
          </w:p>
        </w:tc>
      </w:tr>
      <w:tr w:rsidR="00F74C5F" w:rsidTr="00A93E77">
        <w:trPr>
          <w:trHeight w:val="277"/>
        </w:trPr>
        <w:tc>
          <w:tcPr>
            <w:tcW w:w="2127" w:type="dxa"/>
            <w:gridSpan w:val="2"/>
          </w:tcPr>
          <w:p w:rsidR="00F74C5F" w:rsidRPr="00562D77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777" w:type="dxa"/>
            <w:gridSpan w:val="2"/>
          </w:tcPr>
          <w:p w:rsidR="00390512" w:rsidRDefault="00390512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</w:p>
          <w:p w:rsidR="009373D8" w:rsidRDefault="009967CD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Celková výše dotace v Kč </w:t>
            </w:r>
          </w:p>
          <w:p w:rsidR="009373D8" w:rsidRDefault="007A62D7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(částka z </w:t>
            </w:r>
            <w:proofErr w:type="spellStart"/>
            <w:r w:rsidRPr="00562D77">
              <w:rPr>
                <w:rFonts w:asciiTheme="minorHAnsi" w:hAnsiTheme="minorHAnsi" w:cstheme="minorHAnsi"/>
                <w:sz w:val="18"/>
              </w:rPr>
              <w:t>RoPD</w:t>
            </w:r>
            <w:proofErr w:type="spellEnd"/>
            <w:r w:rsidRPr="00562D77">
              <w:rPr>
                <w:rFonts w:asciiTheme="minorHAnsi" w:hAnsiTheme="minorHAnsi" w:cstheme="minorHAnsi"/>
                <w:sz w:val="18"/>
              </w:rPr>
              <w:t xml:space="preserve"> bez snížení):</w:t>
            </w:r>
            <w:r w:rsidR="009967CD"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:rsidR="007A62D7" w:rsidRPr="00562D77" w:rsidRDefault="00DA1E36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DA1E36">
              <w:rPr>
                <w:rFonts w:asciiTheme="minorHAnsi" w:hAnsiTheme="minorHAnsi" w:cstheme="minorHAnsi"/>
                <w:sz w:val="18"/>
              </w:rPr>
              <w:t>294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DA1E36">
              <w:rPr>
                <w:rFonts w:asciiTheme="minorHAnsi" w:hAnsiTheme="minorHAnsi" w:cstheme="minorHAnsi"/>
                <w:sz w:val="18"/>
              </w:rPr>
              <w:t>544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DA1E36">
              <w:rPr>
                <w:rFonts w:asciiTheme="minorHAnsi" w:hAnsiTheme="minorHAnsi" w:cstheme="minorHAnsi"/>
                <w:sz w:val="18"/>
              </w:rPr>
              <w:t>180,00</w:t>
            </w:r>
          </w:p>
        </w:tc>
        <w:tc>
          <w:tcPr>
            <w:tcW w:w="3702" w:type="dxa"/>
            <w:gridSpan w:val="2"/>
          </w:tcPr>
          <w:p w:rsidR="00F34368" w:rsidRPr="00562D77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Podíl ze státního rozpočtu v CZK (15 %):</w:t>
            </w:r>
          </w:p>
          <w:p w:rsidR="00DA1E36" w:rsidRDefault="00DA1E36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DA1E36">
              <w:rPr>
                <w:rFonts w:asciiTheme="minorHAnsi" w:hAnsiTheme="minorHAnsi" w:cstheme="minorHAnsi"/>
                <w:sz w:val="18"/>
              </w:rPr>
              <w:t>44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DA1E36">
              <w:rPr>
                <w:rFonts w:asciiTheme="minorHAnsi" w:hAnsiTheme="minorHAnsi" w:cstheme="minorHAnsi"/>
                <w:sz w:val="18"/>
              </w:rPr>
              <w:t>181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DA1E36">
              <w:rPr>
                <w:rFonts w:asciiTheme="minorHAnsi" w:hAnsiTheme="minorHAnsi" w:cstheme="minorHAnsi"/>
                <w:sz w:val="18"/>
              </w:rPr>
              <w:t>627,00</w:t>
            </w:r>
          </w:p>
          <w:p w:rsidR="00F74C5F" w:rsidRPr="00562D77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Podíl z EU v  CZK  (85 %):</w:t>
            </w:r>
          </w:p>
          <w:p w:rsidR="00F34368" w:rsidRPr="00562D77" w:rsidRDefault="00DA1E36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DA1E36">
              <w:rPr>
                <w:rFonts w:asciiTheme="minorHAnsi" w:hAnsiTheme="minorHAnsi" w:cstheme="minorHAnsi"/>
                <w:sz w:val="18"/>
              </w:rPr>
              <w:t>250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DA1E36">
              <w:rPr>
                <w:rFonts w:asciiTheme="minorHAnsi" w:hAnsiTheme="minorHAnsi" w:cstheme="minorHAnsi"/>
                <w:sz w:val="18"/>
              </w:rPr>
              <w:t>362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DA1E36">
              <w:rPr>
                <w:rFonts w:asciiTheme="minorHAnsi" w:hAnsiTheme="minorHAnsi" w:cstheme="minorHAnsi"/>
                <w:sz w:val="18"/>
              </w:rPr>
              <w:t>553,00</w:t>
            </w:r>
          </w:p>
        </w:tc>
      </w:tr>
      <w:tr w:rsidR="00F34368" w:rsidTr="00A93E77">
        <w:trPr>
          <w:trHeight w:val="277"/>
        </w:trPr>
        <w:tc>
          <w:tcPr>
            <w:tcW w:w="2127" w:type="dxa"/>
            <w:gridSpan w:val="2"/>
          </w:tcPr>
          <w:p w:rsidR="00F34368" w:rsidRPr="00562D77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Struktura výdajů</w:t>
            </w:r>
          </w:p>
        </w:tc>
        <w:tc>
          <w:tcPr>
            <w:tcW w:w="7479" w:type="dxa"/>
            <w:gridSpan w:val="4"/>
          </w:tcPr>
          <w:p w:rsidR="00F34368" w:rsidRPr="00562D77" w:rsidRDefault="0018459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Stavební část:</w:t>
            </w:r>
            <w:r w:rsidR="00783E42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667FFA">
              <w:rPr>
                <w:rFonts w:asciiTheme="minorHAnsi" w:hAnsiTheme="minorHAnsi" w:cstheme="minorHAnsi"/>
                <w:sz w:val="18"/>
              </w:rPr>
              <w:t>15.332.070,58</w:t>
            </w:r>
          </w:p>
          <w:p w:rsidR="00F34368" w:rsidRPr="00562D77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Přístrojové vybavení</w:t>
            </w:r>
            <w:r w:rsidR="0018459D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783E42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667FFA">
              <w:rPr>
                <w:rFonts w:asciiTheme="minorHAnsi" w:hAnsiTheme="minorHAnsi" w:cstheme="minorHAnsi"/>
                <w:sz w:val="18"/>
              </w:rPr>
              <w:t>200.407.929,42</w:t>
            </w:r>
          </w:p>
          <w:p w:rsidR="00F34368" w:rsidRPr="00562D77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Mzdové výdaje</w:t>
            </w:r>
            <w:r w:rsidR="0018459D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783E42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667FFA">
              <w:rPr>
                <w:rFonts w:asciiTheme="minorHAnsi" w:hAnsiTheme="minorHAnsi" w:cstheme="minorHAnsi"/>
                <w:sz w:val="18"/>
              </w:rPr>
              <w:t>56.546.302,10</w:t>
            </w:r>
          </w:p>
          <w:p w:rsidR="00F34368" w:rsidRPr="00562D77" w:rsidRDefault="00F34368" w:rsidP="00667FFA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Ostatní</w:t>
            </w:r>
            <w:r w:rsidR="0018459D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783E42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667FFA">
              <w:rPr>
                <w:rFonts w:asciiTheme="minorHAnsi" w:hAnsiTheme="minorHAnsi" w:cstheme="minorHAnsi"/>
                <w:sz w:val="18"/>
              </w:rPr>
              <w:t>22.257.877,90</w:t>
            </w:r>
          </w:p>
        </w:tc>
      </w:tr>
      <w:tr w:rsidR="008353DD" w:rsidTr="00A93E77">
        <w:trPr>
          <w:trHeight w:val="883"/>
        </w:trPr>
        <w:tc>
          <w:tcPr>
            <w:tcW w:w="2127" w:type="dxa"/>
            <w:gridSpan w:val="2"/>
          </w:tcPr>
          <w:p w:rsidR="008353DD" w:rsidRPr="00562D77" w:rsidRDefault="008353DD" w:rsidP="008353DD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8353DD" w:rsidRPr="00562D77" w:rsidRDefault="008353DD" w:rsidP="008353DD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562D77">
              <w:rPr>
                <w:rFonts w:asciiTheme="minorHAnsi" w:hAnsiTheme="minorHAnsi" w:cstheme="minorHAnsi"/>
                <w:sz w:val="16"/>
              </w:rPr>
              <w:t>(zhruba 250 znaků</w:t>
            </w:r>
            <w:r w:rsidR="00FD3750" w:rsidRPr="00562D77">
              <w:rPr>
                <w:rFonts w:asciiTheme="minorHAnsi" w:hAnsiTheme="minorHAnsi" w:cstheme="minorHAnsi"/>
                <w:sz w:val="16"/>
              </w:rPr>
              <w:t>)</w:t>
            </w:r>
          </w:p>
        </w:tc>
        <w:tc>
          <w:tcPr>
            <w:tcW w:w="7479" w:type="dxa"/>
            <w:gridSpan w:val="4"/>
          </w:tcPr>
          <w:p w:rsidR="008353DD" w:rsidRPr="007C6CA0" w:rsidRDefault="007C6CA0" w:rsidP="007C6CA0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C6CA0">
              <w:rPr>
                <w:rFonts w:asciiTheme="minorHAnsi" w:hAnsiTheme="minorHAnsi" w:cstheme="minorHAnsi"/>
                <w:bCs/>
                <w:sz w:val="18"/>
                <w:szCs w:val="18"/>
              </w:rPr>
              <w:t>Cílem projektu je vytvoření institutu, který se bude věnovat komplexně výzkumu jevů a procesů těžby a užití energetických surovin i dalšímu využití horninového prostředí. Tyto cíle respektují základní pilíře udržitelného rozvoje a požadavek ma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ximální surovinové soběstačnosti</w:t>
            </w:r>
            <w:r w:rsidRPr="007C6CA0">
              <w:rPr>
                <w:rFonts w:asciiTheme="minorHAnsi" w:hAnsiTheme="minorHAnsi" w:cstheme="minorHAnsi"/>
                <w:bCs/>
                <w:sz w:val="18"/>
                <w:szCs w:val="18"/>
              </w:rPr>
              <w:t>. Centrum umožní získat nové potřebné přístrojové vybavení a zavést nové směry výzkumu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: p</w:t>
            </w:r>
            <w:r w:rsidRPr="007C6CA0">
              <w:rPr>
                <w:rFonts w:asciiTheme="minorHAnsi" w:hAnsiTheme="minorHAnsi" w:cstheme="minorHAnsi"/>
                <w:bCs/>
                <w:sz w:val="18"/>
                <w:szCs w:val="18"/>
              </w:rPr>
              <w:t>racoviště tomografických metod, výzkumu THM procesů v horninách, in-</w:t>
            </w:r>
            <w:proofErr w:type="spellStart"/>
            <w:r w:rsidRPr="007C6CA0">
              <w:rPr>
                <w:rFonts w:asciiTheme="minorHAnsi" w:hAnsiTheme="minorHAnsi" w:cstheme="minorHAnsi"/>
                <w:bCs/>
                <w:sz w:val="18"/>
                <w:szCs w:val="18"/>
              </w:rPr>
              <w:t>situ</w:t>
            </w:r>
            <w:proofErr w:type="spellEnd"/>
            <w:r w:rsidRPr="007C6CA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výzkumu horninového masivu,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strukturního a </w:t>
            </w:r>
            <w:r w:rsidRPr="007C6CA0">
              <w:rPr>
                <w:rFonts w:asciiTheme="minorHAnsi" w:hAnsiTheme="minorHAnsi" w:cstheme="minorHAnsi"/>
                <w:bCs/>
                <w:sz w:val="18"/>
                <w:szCs w:val="18"/>
              </w:rPr>
              <w:t>fázového složení, výzkumu vysoko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rychlostního vodního </w:t>
            </w:r>
            <w:r w:rsidRPr="007C6CA0">
              <w:rPr>
                <w:rFonts w:asciiTheme="minorHAnsi" w:hAnsiTheme="minorHAnsi" w:cstheme="minorHAnsi"/>
                <w:bCs/>
                <w:sz w:val="18"/>
                <w:szCs w:val="18"/>
              </w:rPr>
              <w:t>paprsku, sledování fy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zikálně-chemických vlastností a</w:t>
            </w:r>
            <w:r w:rsidRPr="007C6CA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bezpečnostních rizik.</w:t>
            </w:r>
          </w:p>
        </w:tc>
      </w:tr>
      <w:tr w:rsidR="00535653" w:rsidTr="00A93E77">
        <w:trPr>
          <w:trHeight w:val="277"/>
        </w:trPr>
        <w:tc>
          <w:tcPr>
            <w:tcW w:w="2127" w:type="dxa"/>
            <w:gridSpan w:val="2"/>
          </w:tcPr>
          <w:p w:rsidR="00535653" w:rsidRPr="00562D77" w:rsidRDefault="00535653" w:rsidP="00D93717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Zahájení/ukončení stavby/</w:t>
            </w:r>
            <w:r>
              <w:rPr>
                <w:rFonts w:asciiTheme="minorHAnsi" w:hAnsiTheme="minorHAnsi" w:cstheme="minorHAnsi"/>
                <w:b/>
                <w:sz w:val="22"/>
              </w:rPr>
              <w:t>r</w:t>
            </w:r>
            <w:r w:rsidRPr="00562D77">
              <w:rPr>
                <w:rFonts w:asciiTheme="minorHAnsi" w:hAnsiTheme="minorHAnsi" w:cstheme="minorHAnsi"/>
                <w:b/>
                <w:sz w:val="22"/>
              </w:rPr>
              <w:t>ekonstrukce</w:t>
            </w:r>
            <w:r w:rsidRPr="00562D77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562D77">
              <w:rPr>
                <w:rFonts w:asciiTheme="minorHAnsi" w:hAnsiTheme="minorHAnsi" w:cstheme="minorHAnsi"/>
                <w:sz w:val="16"/>
              </w:rPr>
              <w:t>(pokud je relevantní)</w:t>
            </w:r>
          </w:p>
        </w:tc>
        <w:tc>
          <w:tcPr>
            <w:tcW w:w="7479" w:type="dxa"/>
            <w:gridSpan w:val="4"/>
            <w:vAlign w:val="center"/>
          </w:tcPr>
          <w:p w:rsidR="00535653" w:rsidRPr="009967CD" w:rsidRDefault="00535653" w:rsidP="0053565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Není relevantní </w:t>
            </w:r>
          </w:p>
        </w:tc>
      </w:tr>
      <w:tr w:rsidR="008353DD" w:rsidTr="00A93E77">
        <w:trPr>
          <w:trHeight w:val="1290"/>
        </w:trPr>
        <w:tc>
          <w:tcPr>
            <w:tcW w:w="2127" w:type="dxa"/>
            <w:gridSpan w:val="2"/>
          </w:tcPr>
          <w:p w:rsidR="008353DD" w:rsidRPr="00562D77" w:rsidRDefault="00737A93" w:rsidP="00FD3750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Výstupy projektu</w:t>
            </w:r>
            <w:r w:rsidR="00FD3750" w:rsidRPr="00562D77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FD3750" w:rsidRPr="00562D77">
              <w:rPr>
                <w:rFonts w:asciiTheme="minorHAnsi" w:hAnsiTheme="minorHAnsi" w:cstheme="minorHAnsi"/>
                <w:sz w:val="16"/>
              </w:rPr>
              <w:t>(popis hlavních dosažených výstupů včetně uvedení závazných monitorovacích indikátorů v době ukončení projektu plán/skutečnost a plán na rok 2015)</w:t>
            </w:r>
          </w:p>
        </w:tc>
        <w:tc>
          <w:tcPr>
            <w:tcW w:w="7479" w:type="dxa"/>
            <w:gridSpan w:val="4"/>
          </w:tcPr>
          <w:p w:rsidR="008353DD" w:rsidRPr="009E4474" w:rsidRDefault="009B7C17" w:rsidP="00D93717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B7C17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Příjemce </w:t>
            </w:r>
            <w:r w:rsidR="00667FFA">
              <w:rPr>
                <w:rFonts w:asciiTheme="minorHAnsi" w:hAnsiTheme="minorHAnsi" w:cstheme="minorHAnsi"/>
                <w:bCs/>
                <w:sz w:val="18"/>
                <w:szCs w:val="18"/>
              </w:rPr>
              <w:t>v </w:t>
            </w:r>
            <w:r w:rsidR="00667FFA" w:rsidRPr="009E447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průběhu realizace projektu </w:t>
            </w:r>
            <w:r w:rsidRPr="009E4474">
              <w:rPr>
                <w:rFonts w:asciiTheme="minorHAnsi" w:hAnsiTheme="minorHAnsi" w:cstheme="minorHAnsi"/>
                <w:bCs/>
                <w:sz w:val="18"/>
                <w:szCs w:val="18"/>
              </w:rPr>
              <w:t>nem</w:t>
            </w:r>
            <w:r w:rsidR="00B26E8B">
              <w:rPr>
                <w:rFonts w:asciiTheme="minorHAnsi" w:hAnsiTheme="minorHAnsi" w:cstheme="minorHAnsi"/>
                <w:bCs/>
                <w:sz w:val="18"/>
                <w:szCs w:val="18"/>
              </w:rPr>
              <w:t>á</w:t>
            </w:r>
            <w:r w:rsidRPr="009E447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667FFA" w:rsidRPr="009E447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větší </w:t>
            </w:r>
            <w:r w:rsidRPr="009E4474">
              <w:rPr>
                <w:rFonts w:asciiTheme="minorHAnsi" w:hAnsiTheme="minorHAnsi" w:cstheme="minorHAnsi"/>
                <w:bCs/>
                <w:sz w:val="18"/>
                <w:szCs w:val="18"/>
              </w:rPr>
              <w:t>problémy s dosahováním průběžných hodnot monitorovacích indikátorů</w:t>
            </w:r>
            <w:r w:rsidR="00B26E8B">
              <w:rPr>
                <w:rFonts w:asciiTheme="minorHAnsi" w:hAnsiTheme="minorHAnsi" w:cstheme="minorHAnsi"/>
                <w:bCs/>
                <w:sz w:val="18"/>
                <w:szCs w:val="18"/>
              </w:rPr>
              <w:t>. Údaje ke konci realizace (31. 12. 2014) budou známy až 28. 2. 2015.</w:t>
            </w:r>
            <w:r w:rsidR="00667FFA" w:rsidRPr="009E447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tbl>
            <w:tblPr>
              <w:tblW w:w="7300" w:type="dxa"/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846"/>
              <w:gridCol w:w="3577"/>
              <w:gridCol w:w="993"/>
              <w:gridCol w:w="1134"/>
              <w:gridCol w:w="750"/>
            </w:tblGrid>
            <w:tr w:rsidR="00416726" w:rsidRPr="00A93E77" w:rsidTr="00F82670">
              <w:trPr>
                <w:trHeight w:val="1003"/>
              </w:trPr>
              <w:tc>
                <w:tcPr>
                  <w:tcW w:w="44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Závazné hodnoty monitorovacích indikátorů: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K datu ukončení realizace projektu (plán)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41C26" w:rsidRDefault="00390512" w:rsidP="00390512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 xml:space="preserve">16. MZ </w:t>
                  </w:r>
                </w:p>
                <w:p w:rsidR="00041C26" w:rsidRDefault="00390512" w:rsidP="00390512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 xml:space="preserve">(31. 8. 2014) Dosažená hodnota </w:t>
                  </w:r>
                </w:p>
                <w:p w:rsidR="00416726" w:rsidRPr="00A93E77" w:rsidRDefault="00390512" w:rsidP="00390512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(28. 2. 2014)</w:t>
                  </w:r>
                </w:p>
              </w:tc>
              <w:tc>
                <w:tcPr>
                  <w:tcW w:w="7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31. 12. 2015</w:t>
                  </w:r>
                </w:p>
              </w:tc>
            </w:tr>
            <w:tr w:rsidR="00A93E77" w:rsidRPr="00A93E77" w:rsidTr="00F82670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110502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127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041C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117,88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177</w:t>
                  </w:r>
                </w:p>
              </w:tc>
            </w:tr>
            <w:tr w:rsidR="00A93E77" w:rsidRPr="00A93E77" w:rsidTr="00F82670">
              <w:trPr>
                <w:trHeight w:val="510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110503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041C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A93E77" w:rsidRPr="00A93E77" w:rsidTr="00F82670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110504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53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041C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50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71</w:t>
                  </w:r>
                </w:p>
              </w:tc>
            </w:tr>
            <w:tr w:rsidR="00A93E77" w:rsidRPr="00A93E77" w:rsidTr="00F82670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111200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Objem smluvního výzkumu (tis. Kč)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20250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041C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31418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32750</w:t>
                  </w:r>
                </w:p>
              </w:tc>
            </w:tr>
            <w:tr w:rsidR="00A93E77" w:rsidRPr="00A93E77" w:rsidTr="00F82670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074901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228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390512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298</w:t>
                  </w:r>
                </w:p>
              </w:tc>
            </w:tr>
            <w:tr w:rsidR="00A93E77" w:rsidRPr="00A93E77" w:rsidTr="00F82670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074902</w:t>
                  </w:r>
                </w:p>
              </w:tc>
              <w:tc>
                <w:tcPr>
                  <w:tcW w:w="35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041C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28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59</w:t>
                  </w:r>
                </w:p>
              </w:tc>
            </w:tr>
            <w:tr w:rsidR="00A93E77" w:rsidRPr="00A93E77" w:rsidTr="00F82670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lastRenderedPageBreak/>
                    <w:t>110720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Počet projektů spolupráce aplikační sféry s regionálními </w:t>
                  </w:r>
                  <w:proofErr w:type="spellStart"/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VaV</w:t>
                  </w:r>
                  <w:proofErr w:type="spellEnd"/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 centry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041C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</w:tr>
            <w:tr w:rsidR="00A93E77" w:rsidRPr="00A93E77" w:rsidTr="00F82670">
              <w:trPr>
                <w:trHeight w:val="510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110815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041C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63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47</w:t>
                  </w:r>
                </w:p>
              </w:tc>
            </w:tr>
            <w:tr w:rsidR="00A93E77" w:rsidRPr="00A93E77" w:rsidTr="00F82670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110300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Počet nově vytvořených pracovních míst, zaměstnanci </w:t>
                  </w:r>
                  <w:proofErr w:type="spellStart"/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VaV</w:t>
                  </w:r>
                  <w:proofErr w:type="spellEnd"/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- celkem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32,2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041C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33,72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33,2</w:t>
                  </w:r>
                </w:p>
              </w:tc>
            </w:tr>
            <w:tr w:rsidR="00A93E77" w:rsidRPr="00A93E77" w:rsidTr="00F82670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071700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390512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30,49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29</w:t>
                  </w:r>
                </w:p>
              </w:tc>
            </w:tr>
            <w:tr w:rsidR="00A93E77" w:rsidRPr="00A93E77" w:rsidTr="00F82670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071900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390512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15,07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</w:tr>
            <w:tr w:rsidR="00A93E77" w:rsidRPr="00A93E77" w:rsidTr="00F82670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110516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Rozšířené nebo zrekonstruované kapacity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041C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380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</w:tr>
            <w:tr w:rsidR="00A93E77" w:rsidRPr="00A93E77" w:rsidTr="00F82670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110517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16726" w:rsidRPr="00A93E77" w:rsidRDefault="00416726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A93E77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Vybudované kapacity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416726" w:rsidRPr="00A93E77" w:rsidRDefault="00041C26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416726" w:rsidRPr="00A93E77" w:rsidRDefault="008B0CC1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</w:tr>
          </w:tbl>
          <w:p w:rsidR="00123F0C" w:rsidRPr="00562D77" w:rsidRDefault="00123F0C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</w:rPr>
            </w:pPr>
          </w:p>
        </w:tc>
      </w:tr>
      <w:tr w:rsidR="00235AE1" w:rsidTr="00A93E77">
        <w:tc>
          <w:tcPr>
            <w:tcW w:w="9606" w:type="dxa"/>
            <w:gridSpan w:val="6"/>
            <w:shd w:val="clear" w:color="auto" w:fill="595959" w:themeFill="text1" w:themeFillTint="A6"/>
          </w:tcPr>
          <w:p w:rsidR="00235AE1" w:rsidRPr="00562D77" w:rsidRDefault="0004245B" w:rsidP="00A431A3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62D77"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7E4788" wp14:editId="028B08CC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562D77" w:rsidRDefault="0004245B" w:rsidP="0004245B">
                                  <w:pPr>
                                    <w:spacing w:after="120" w:line="240" w:lineRule="auto"/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562D77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 w:rsidRPr="00562D77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783E42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3A4D09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  <w:r w:rsidR="00783E42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7E47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562D77" w:rsidRDefault="0004245B" w:rsidP="0004245B">
                            <w:pPr>
                              <w:spacing w:after="120" w:line="240" w:lineRule="auto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562D77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 w:rsidRPr="00562D77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:</w:t>
                            </w:r>
                            <w:r w:rsidR="00783E42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A4D09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6</w:t>
                            </w:r>
                            <w:r w:rsidR="00783E42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62D77">
              <w:rPr>
                <w:rFonts w:asciiTheme="minorHAnsi" w:hAnsiTheme="minorHAnsi" w:cstheme="minorHAnsi"/>
                <w:b/>
                <w:color w:val="FFFFFF" w:themeColor="background1"/>
              </w:rPr>
              <w:t>Aktuální stav realizace projektu</w:t>
            </w:r>
          </w:p>
        </w:tc>
      </w:tr>
      <w:tr w:rsidR="00F9010E" w:rsidTr="00A93E77">
        <w:trPr>
          <w:trHeight w:val="847"/>
        </w:trPr>
        <w:tc>
          <w:tcPr>
            <w:tcW w:w="2103" w:type="dxa"/>
          </w:tcPr>
          <w:p w:rsidR="00F9010E" w:rsidRPr="00562D77" w:rsidRDefault="00F9010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3547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 xml:space="preserve">Jméno a </w:t>
            </w:r>
            <w:r w:rsidR="00F9010E" w:rsidRPr="00562D77">
              <w:rPr>
                <w:rFonts w:asciiTheme="minorHAnsi" w:hAnsiTheme="minorHAnsi" w:cstheme="minorHAnsi"/>
                <w:sz w:val="18"/>
              </w:rPr>
              <w:t xml:space="preserve">pracovní </w:t>
            </w:r>
            <w:r w:rsidRPr="00562D77">
              <w:rPr>
                <w:rFonts w:asciiTheme="minorHAnsi" w:hAnsiTheme="minorHAnsi" w:cstheme="minorHAnsi"/>
                <w:sz w:val="18"/>
              </w:rPr>
              <w:t>pozice:</w:t>
            </w:r>
          </w:p>
          <w:p w:rsidR="00135BFC" w:rsidRDefault="00135BFC" w:rsidP="00135BFC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prof. Ing. Ivo Vondrák, CSc.</w:t>
            </w:r>
          </w:p>
          <w:p w:rsidR="00135BFC" w:rsidRPr="00562D77" w:rsidRDefault="00135BFC" w:rsidP="00135BFC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rektor</w:t>
            </w:r>
          </w:p>
        </w:tc>
        <w:tc>
          <w:tcPr>
            <w:tcW w:w="3956" w:type="dxa"/>
            <w:gridSpan w:val="3"/>
          </w:tcPr>
          <w:p w:rsidR="00135BFC" w:rsidRDefault="00F9010E" w:rsidP="00DD26D3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Instituce</w:t>
            </w:r>
            <w:r w:rsidR="00002DBE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135BFC"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:rsidR="00F9010E" w:rsidRPr="00562D77" w:rsidRDefault="00135BF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Vysoká škola báňská – Technická univerzita Ostrava</w:t>
            </w:r>
          </w:p>
        </w:tc>
      </w:tr>
      <w:tr w:rsidR="00002DBE" w:rsidTr="00A93E77">
        <w:trPr>
          <w:trHeight w:val="1009"/>
        </w:trPr>
        <w:tc>
          <w:tcPr>
            <w:tcW w:w="2103" w:type="dxa"/>
          </w:tcPr>
          <w:p w:rsidR="00002DBE" w:rsidRPr="00562D77" w:rsidRDefault="00002DB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7503" w:type="dxa"/>
            <w:gridSpan w:val="5"/>
          </w:tcPr>
          <w:p w:rsidR="00135BFC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Vedoucí projektu (jméno a pracovní pozice)</w:t>
            </w:r>
            <w:r w:rsidR="00135BFC">
              <w:rPr>
                <w:rFonts w:asciiTheme="minorHAnsi" w:hAnsiTheme="minorHAnsi" w:cstheme="minorHAnsi"/>
                <w:sz w:val="18"/>
              </w:rPr>
              <w:t xml:space="preserve">: </w:t>
            </w:r>
          </w:p>
          <w:p w:rsidR="00002DBE" w:rsidRPr="00562D77" w:rsidRDefault="00C62CED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prof. Ing. </w:t>
            </w:r>
            <w:proofErr w:type="spellStart"/>
            <w:proofErr w:type="gramStart"/>
            <w:r w:rsidR="00DA1E36">
              <w:rPr>
                <w:rFonts w:asciiTheme="minorHAnsi" w:hAnsiTheme="minorHAnsi" w:cstheme="minorHAnsi"/>
                <w:sz w:val="18"/>
              </w:rPr>
              <w:t>Dr.h.</w:t>
            </w:r>
            <w:proofErr w:type="gramEnd"/>
            <w:r w:rsidR="00DA1E36">
              <w:rPr>
                <w:rFonts w:asciiTheme="minorHAnsi" w:hAnsiTheme="minorHAnsi" w:cstheme="minorHAnsi"/>
                <w:sz w:val="18"/>
              </w:rPr>
              <w:t>c</w:t>
            </w:r>
            <w:proofErr w:type="spellEnd"/>
            <w:r w:rsidR="00DA1E36">
              <w:rPr>
                <w:rFonts w:asciiTheme="minorHAnsi" w:hAnsiTheme="minorHAnsi" w:cstheme="minorHAnsi"/>
                <w:sz w:val="18"/>
              </w:rPr>
              <w:t>. Vladimír Slivka</w:t>
            </w:r>
            <w:r>
              <w:rPr>
                <w:rFonts w:asciiTheme="minorHAnsi" w:hAnsiTheme="minorHAnsi" w:cstheme="minorHAnsi"/>
                <w:sz w:val="18"/>
              </w:rPr>
              <w:t>, CSc.</w:t>
            </w:r>
          </w:p>
          <w:p w:rsidR="00002DBE" w:rsidRPr="00562D77" w:rsidRDefault="00135BF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ředitel </w:t>
            </w:r>
          </w:p>
        </w:tc>
      </w:tr>
      <w:tr w:rsidR="008B0CC1" w:rsidTr="008B0CC1">
        <w:trPr>
          <w:trHeight w:val="843"/>
        </w:trPr>
        <w:tc>
          <w:tcPr>
            <w:tcW w:w="2103" w:type="dxa"/>
          </w:tcPr>
          <w:p w:rsidR="008B0CC1" w:rsidRPr="00562D77" w:rsidRDefault="008B0CC1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Klíčové schválené změny projektu</w:t>
            </w:r>
          </w:p>
        </w:tc>
        <w:tc>
          <w:tcPr>
            <w:tcW w:w="5836" w:type="dxa"/>
            <w:gridSpan w:val="4"/>
          </w:tcPr>
          <w:p w:rsidR="008B0CC1" w:rsidRPr="0035140A" w:rsidRDefault="008B0CC1" w:rsidP="009B7C17">
            <w:pPr>
              <w:spacing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Stručný popis: </w:t>
            </w:r>
            <w:r w:rsidRPr="0035140A">
              <w:rPr>
                <w:rFonts w:asciiTheme="minorHAnsi" w:hAnsiTheme="minorHAnsi" w:cstheme="minorHAnsi"/>
                <w:sz w:val="18"/>
                <w:szCs w:val="18"/>
              </w:rPr>
              <w:t>v projektu došlo během realizace k těmto změnám: změny termínu a upřesnění milníků v kapitole II, VP 2, cíl 3 a 4, změna názvu a termínu milníku v kapitole I, celkové cíle projektu, změna výstupu v kapitole II, VP2, cíl 4. Přijetí přílohy sankce (snížené odvody) za porušení rozpočtové kázně v důsledku porušení pravidel pro zadávání veřejných zakázek a přílohy sankce (snížené odvody) za porušení rozpočtové kázně v důsledku nenaplnění závazných hodnot monitorovacích indikátorů.  Dále došlo k drobným přesunům prostředků v kapitole 2 z položky 2.4 do položky 2.3 a z kapitoly 5. Publicita do kapitoly 9. Osobní výdaje.</w:t>
            </w:r>
          </w:p>
        </w:tc>
        <w:tc>
          <w:tcPr>
            <w:tcW w:w="1667" w:type="dxa"/>
          </w:tcPr>
          <w:p w:rsidR="008B0CC1" w:rsidRPr="009B7C17" w:rsidRDefault="008B0CC1" w:rsidP="009B7C17">
            <w:pPr>
              <w:spacing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E4474">
              <w:rPr>
                <w:rFonts w:asciiTheme="minorHAnsi" w:hAnsiTheme="minorHAnsi" w:cstheme="minorHAnsi"/>
                <w:sz w:val="18"/>
                <w:szCs w:val="18"/>
              </w:rPr>
              <w:t>Finanční dopady: bez dopadu do způsobilých výdajů</w:t>
            </w:r>
            <w:r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04245B" w:rsidTr="0035140A">
        <w:trPr>
          <w:trHeight w:val="1818"/>
        </w:trPr>
        <w:tc>
          <w:tcPr>
            <w:tcW w:w="2103" w:type="dxa"/>
          </w:tcPr>
          <w:p w:rsidR="0004245B" w:rsidRPr="00562D77" w:rsidRDefault="0004245B" w:rsidP="00D03FD2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Věcná realizace projektu</w:t>
            </w:r>
          </w:p>
        </w:tc>
        <w:tc>
          <w:tcPr>
            <w:tcW w:w="7503" w:type="dxa"/>
            <w:gridSpan w:val="5"/>
          </w:tcPr>
          <w:p w:rsidR="00535653" w:rsidRPr="00783E42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3E42">
              <w:rPr>
                <w:rFonts w:asciiTheme="minorHAnsi" w:hAnsiTheme="minorHAnsi" w:cstheme="minorHAnsi"/>
                <w:sz w:val="18"/>
                <w:szCs w:val="18"/>
              </w:rPr>
              <w:t>Stavební část (včetně % naplnění)</w:t>
            </w:r>
            <w:r w:rsidR="0053565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93E77">
              <w:rPr>
                <w:rFonts w:asciiTheme="minorHAnsi" w:hAnsiTheme="minorHAnsi" w:cstheme="minorHAnsi"/>
                <w:sz w:val="18"/>
                <w:szCs w:val="18"/>
              </w:rPr>
              <w:t xml:space="preserve">= </w:t>
            </w:r>
            <w:r w:rsidR="009B7C17">
              <w:rPr>
                <w:rFonts w:asciiTheme="minorHAnsi" w:hAnsiTheme="minorHAnsi" w:cstheme="minorHAnsi"/>
                <w:sz w:val="18"/>
                <w:szCs w:val="18"/>
              </w:rPr>
              <w:t>b</w:t>
            </w:r>
            <w:r w:rsidR="00535653">
              <w:rPr>
                <w:rFonts w:asciiTheme="minorHAnsi" w:hAnsiTheme="minorHAnsi" w:cstheme="minorHAnsi"/>
                <w:sz w:val="18"/>
                <w:szCs w:val="18"/>
              </w:rPr>
              <w:t>ez stavby</w:t>
            </w:r>
          </w:p>
          <w:p w:rsidR="009E4474" w:rsidRDefault="0004245B" w:rsidP="00416726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3E42">
              <w:rPr>
                <w:rFonts w:asciiTheme="minorHAnsi" w:hAnsiTheme="minorHAnsi" w:cstheme="minorHAnsi"/>
                <w:sz w:val="18"/>
                <w:szCs w:val="18"/>
              </w:rPr>
              <w:t>Přístroje (včetně % naplnění)</w:t>
            </w:r>
            <w:r w:rsidR="00135BFC" w:rsidRPr="00783E42">
              <w:rPr>
                <w:rFonts w:asciiTheme="minorHAnsi" w:hAnsiTheme="minorHAnsi" w:cstheme="minorHAnsi"/>
                <w:sz w:val="18"/>
                <w:szCs w:val="18"/>
              </w:rPr>
              <w:t xml:space="preserve"> 100%</w:t>
            </w:r>
            <w:r w:rsidR="00416726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="00D937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ŘO provedl kontrolu </w:t>
            </w:r>
            <w:r w:rsidR="009E4474">
              <w:rPr>
                <w:rFonts w:asciiTheme="minorHAnsi" w:hAnsiTheme="minorHAnsi" w:cstheme="minorHAnsi"/>
                <w:sz w:val="18"/>
                <w:szCs w:val="18"/>
              </w:rPr>
              <w:t>67</w:t>
            </w:r>
            <w:r w:rsidR="00D937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 veřejných zakázek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. Veškeré přístrojové vybavení se </w:t>
            </w:r>
            <w:r w:rsidR="009B7C17">
              <w:rPr>
                <w:rFonts w:asciiTheme="minorHAnsi" w:hAnsiTheme="minorHAnsi" w:cstheme="minorHAnsi"/>
                <w:sz w:val="18"/>
                <w:szCs w:val="18"/>
              </w:rPr>
              <w:t xml:space="preserve">příjemci 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 xml:space="preserve">podařilo smluvně </w:t>
            </w:r>
            <w:r w:rsidR="009E4474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="009B7C17" w:rsidRPr="009B7C17">
              <w:rPr>
                <w:rFonts w:asciiTheme="minorHAnsi" w:hAnsiTheme="minorHAnsi" w:cstheme="minorHAnsi"/>
                <w:sz w:val="18"/>
                <w:szCs w:val="18"/>
              </w:rPr>
              <w:t>vázat</w:t>
            </w:r>
            <w:r w:rsidR="009E447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135BFC" w:rsidRPr="009E4474" w:rsidRDefault="0081392A" w:rsidP="00B26E8B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83E42">
              <w:rPr>
                <w:rFonts w:asciiTheme="minorHAnsi" w:hAnsiTheme="minorHAnsi" w:cstheme="minorHAnsi"/>
                <w:sz w:val="18"/>
                <w:szCs w:val="18"/>
              </w:rPr>
              <w:t xml:space="preserve">Personální zajištění </w:t>
            </w:r>
            <w:r w:rsidR="00AF6EBB" w:rsidRPr="00783E42">
              <w:rPr>
                <w:rFonts w:asciiTheme="minorHAnsi" w:hAnsiTheme="minorHAnsi" w:cstheme="minorHAnsi"/>
                <w:sz w:val="18"/>
                <w:szCs w:val="18"/>
              </w:rPr>
              <w:t>(včetně % naplnění)</w:t>
            </w:r>
            <w:r w:rsidR="00135BFC" w:rsidRPr="00783E42">
              <w:rPr>
                <w:rFonts w:asciiTheme="minorHAnsi" w:hAnsiTheme="minorHAnsi" w:cstheme="minorHAnsi"/>
                <w:sz w:val="18"/>
                <w:szCs w:val="18"/>
              </w:rPr>
              <w:t xml:space="preserve"> 100%</w:t>
            </w:r>
            <w:r w:rsidR="00416726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="009E4474" w:rsidRPr="009E4474">
              <w:rPr>
                <w:rFonts w:asciiTheme="minorHAnsi" w:hAnsiTheme="minorHAnsi" w:cstheme="minorHAnsi"/>
                <w:sz w:val="18"/>
                <w:szCs w:val="18"/>
              </w:rPr>
              <w:t xml:space="preserve">Do projektu bylo zapojeno 15 (příjemce) a 8 (partner) výzkumných pracovníků. Každý ze dvou výzkumných programů je veden </w:t>
            </w:r>
            <w:r w:rsidR="009E4474">
              <w:rPr>
                <w:rFonts w:asciiTheme="minorHAnsi" w:hAnsiTheme="minorHAnsi" w:cstheme="minorHAnsi"/>
                <w:sz w:val="18"/>
                <w:szCs w:val="18"/>
              </w:rPr>
              <w:t>v</w:t>
            </w:r>
            <w:r w:rsidR="009E4474" w:rsidRPr="009E4474">
              <w:rPr>
                <w:rFonts w:asciiTheme="minorHAnsi" w:hAnsiTheme="minorHAnsi" w:cstheme="minorHAnsi"/>
                <w:sz w:val="18"/>
                <w:szCs w:val="18"/>
              </w:rPr>
              <w:t>edoucím</w:t>
            </w:r>
            <w:r w:rsidR="009E447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E4474" w:rsidRPr="009E4474">
              <w:rPr>
                <w:rFonts w:asciiTheme="minorHAnsi" w:hAnsiTheme="minorHAnsi" w:cstheme="minorHAnsi"/>
                <w:sz w:val="18"/>
                <w:szCs w:val="18"/>
              </w:rPr>
              <w:t xml:space="preserve"> Na pozici Senior </w:t>
            </w:r>
            <w:proofErr w:type="spellStart"/>
            <w:r w:rsidR="009E4474" w:rsidRPr="009E4474">
              <w:rPr>
                <w:rFonts w:asciiTheme="minorHAnsi" w:hAnsiTheme="minorHAnsi" w:cstheme="minorHAnsi"/>
                <w:sz w:val="18"/>
                <w:szCs w:val="18"/>
              </w:rPr>
              <w:t>researcher</w:t>
            </w:r>
            <w:proofErr w:type="spellEnd"/>
            <w:r w:rsidR="009E4474" w:rsidRPr="009E4474">
              <w:rPr>
                <w:rFonts w:asciiTheme="minorHAnsi" w:hAnsiTheme="minorHAnsi" w:cstheme="minorHAnsi"/>
                <w:sz w:val="18"/>
                <w:szCs w:val="18"/>
              </w:rPr>
              <w:t xml:space="preserve"> je zaměstnáno 10 pracovníků. Na ostatních pozicích je zaměstnáno celkem 11 pracovníků (manažeři marketingu, rizik, pro výzkum, infrastrukturu a administrativa projektu).</w:t>
            </w:r>
          </w:p>
        </w:tc>
      </w:tr>
      <w:tr w:rsidR="00DA6654" w:rsidTr="00A93E77">
        <w:tc>
          <w:tcPr>
            <w:tcW w:w="2103" w:type="dxa"/>
          </w:tcPr>
          <w:p w:rsidR="00DA6654" w:rsidRPr="00562D77" w:rsidRDefault="00DA6654" w:rsidP="00D03FD2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Finanční čerpání projektu</w:t>
            </w:r>
          </w:p>
        </w:tc>
        <w:tc>
          <w:tcPr>
            <w:tcW w:w="7503" w:type="dxa"/>
            <w:gridSpan w:val="5"/>
          </w:tcPr>
          <w:p w:rsidR="00535653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Předložené výdaje (v Kč i %)</w:t>
            </w:r>
            <w:r w:rsidR="00E35E31">
              <w:rPr>
                <w:rFonts w:asciiTheme="minorHAnsi" w:hAnsiTheme="minorHAnsi" w:cstheme="minorHAnsi"/>
                <w:sz w:val="18"/>
              </w:rPr>
              <w:t>:</w:t>
            </w:r>
            <w:r w:rsidR="00B96AF3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D02D7C">
              <w:rPr>
                <w:rFonts w:asciiTheme="minorHAnsi" w:hAnsiTheme="minorHAnsi" w:cstheme="minorHAnsi"/>
                <w:sz w:val="18"/>
              </w:rPr>
              <w:t>280 947 097,64</w:t>
            </w:r>
            <w:r w:rsidR="003D4E21"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:rsidR="00DA1E36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Schválené výdaje</w:t>
            </w:r>
            <w:r w:rsidR="00C92258" w:rsidRPr="00562D77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562D77">
              <w:rPr>
                <w:rFonts w:asciiTheme="minorHAnsi" w:hAnsiTheme="minorHAnsi" w:cstheme="minorHAnsi"/>
                <w:sz w:val="18"/>
              </w:rPr>
              <w:t>(v Kč i %)</w:t>
            </w:r>
            <w:r w:rsidR="00E35E31">
              <w:rPr>
                <w:rFonts w:asciiTheme="minorHAnsi" w:hAnsiTheme="minorHAnsi" w:cstheme="minorHAnsi"/>
                <w:sz w:val="18"/>
              </w:rPr>
              <w:t xml:space="preserve">: </w:t>
            </w:r>
            <w:r w:rsidR="00D02D7C">
              <w:rPr>
                <w:rFonts w:asciiTheme="minorHAnsi" w:hAnsiTheme="minorHAnsi" w:cstheme="minorHAnsi"/>
                <w:sz w:val="18"/>
              </w:rPr>
              <w:t xml:space="preserve">280 892 109,01 </w:t>
            </w:r>
          </w:p>
          <w:p w:rsidR="00DA6654" w:rsidRPr="00562D77" w:rsidRDefault="00DA6654" w:rsidP="00D02D7C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Certifikované výdaje (v Kč i %)</w:t>
            </w:r>
            <w:r w:rsidR="00E35E31">
              <w:rPr>
                <w:rFonts w:asciiTheme="minorHAnsi" w:hAnsiTheme="minorHAnsi" w:cstheme="minorHAnsi"/>
                <w:sz w:val="18"/>
              </w:rPr>
              <w:t xml:space="preserve">: </w:t>
            </w:r>
            <w:r w:rsidR="00D02D7C" w:rsidRPr="00D02D7C">
              <w:rPr>
                <w:rFonts w:asciiTheme="minorHAnsi" w:hAnsiTheme="minorHAnsi" w:cstheme="minorHAnsi"/>
                <w:sz w:val="18"/>
              </w:rPr>
              <w:t>274</w:t>
            </w:r>
            <w:r w:rsidR="00D02D7C">
              <w:rPr>
                <w:rFonts w:asciiTheme="minorHAnsi" w:hAnsiTheme="minorHAnsi" w:cstheme="minorHAnsi"/>
                <w:sz w:val="18"/>
              </w:rPr>
              <w:t> </w:t>
            </w:r>
            <w:r w:rsidR="00D02D7C" w:rsidRPr="00D02D7C">
              <w:rPr>
                <w:rFonts w:asciiTheme="minorHAnsi" w:hAnsiTheme="minorHAnsi" w:cstheme="minorHAnsi"/>
                <w:sz w:val="18"/>
              </w:rPr>
              <w:t>583</w:t>
            </w:r>
            <w:r w:rsidR="00D02D7C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D02D7C" w:rsidRPr="00D02D7C">
              <w:rPr>
                <w:rFonts w:asciiTheme="minorHAnsi" w:hAnsiTheme="minorHAnsi" w:cstheme="minorHAnsi"/>
                <w:sz w:val="18"/>
              </w:rPr>
              <w:t xml:space="preserve">518,53 </w:t>
            </w:r>
          </w:p>
        </w:tc>
      </w:tr>
      <w:tr w:rsidR="00C43F6D" w:rsidTr="00D02D7C">
        <w:tc>
          <w:tcPr>
            <w:tcW w:w="2127" w:type="dxa"/>
            <w:gridSpan w:val="2"/>
          </w:tcPr>
          <w:p w:rsidR="00B26E8B" w:rsidRDefault="00EE2A12" w:rsidP="00390512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 xml:space="preserve">Nezpůsobilé </w:t>
            </w:r>
          </w:p>
          <w:p w:rsidR="00B26E8B" w:rsidRDefault="00EE2A12" w:rsidP="00390512">
            <w:pPr>
              <w:spacing w:before="60" w:after="60"/>
              <w:rPr>
                <w:rFonts w:asciiTheme="minorHAnsi" w:hAnsiTheme="minorHAnsi" w:cstheme="minorHAnsi"/>
                <w:sz w:val="16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výdaje</w:t>
            </w:r>
            <w:r w:rsidR="00C43F6D" w:rsidRPr="00562D77">
              <w:rPr>
                <w:rFonts w:asciiTheme="minorHAnsi" w:hAnsiTheme="minorHAnsi" w:cstheme="minorHAnsi"/>
                <w:b/>
                <w:sz w:val="22"/>
              </w:rPr>
              <w:t xml:space="preserve"> projektu</w:t>
            </w:r>
            <w:r w:rsidR="00C43F6D" w:rsidRPr="00562D77">
              <w:rPr>
                <w:rFonts w:asciiTheme="minorHAnsi" w:hAnsiTheme="minorHAnsi" w:cstheme="minorHAnsi"/>
                <w:sz w:val="16"/>
              </w:rPr>
              <w:t xml:space="preserve"> </w:t>
            </w:r>
          </w:p>
          <w:p w:rsidR="00C43F6D" w:rsidRPr="00562D77" w:rsidRDefault="00C43F6D" w:rsidP="00390512">
            <w:pPr>
              <w:spacing w:before="60" w:after="60"/>
              <w:rPr>
                <w:rFonts w:asciiTheme="minorHAnsi" w:hAnsiTheme="minorHAnsi" w:cstheme="minorHAnsi"/>
                <w:b/>
                <w:sz w:val="20"/>
              </w:rPr>
            </w:pPr>
            <w:r w:rsidRPr="00562D77">
              <w:rPr>
                <w:rFonts w:asciiTheme="minorHAnsi" w:hAnsiTheme="minorHAnsi" w:cstheme="minorHAnsi"/>
                <w:sz w:val="16"/>
              </w:rPr>
              <w:t>(v Kč i %):</w:t>
            </w:r>
          </w:p>
        </w:tc>
        <w:tc>
          <w:tcPr>
            <w:tcW w:w="7479" w:type="dxa"/>
            <w:gridSpan w:val="4"/>
            <w:vAlign w:val="center"/>
          </w:tcPr>
          <w:p w:rsidR="00C43F6D" w:rsidRPr="00E35E31" w:rsidRDefault="00D02D7C" w:rsidP="003D4E2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42 680 469,13 </w:t>
            </w:r>
          </w:p>
        </w:tc>
      </w:tr>
      <w:tr w:rsidR="00D2753C" w:rsidTr="00A93E77">
        <w:tc>
          <w:tcPr>
            <w:tcW w:w="2103" w:type="dxa"/>
          </w:tcPr>
          <w:p w:rsidR="00D2753C" w:rsidRPr="00562D77" w:rsidRDefault="00D2753C" w:rsidP="00D03FD2">
            <w:pPr>
              <w:spacing w:before="60" w:after="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Ostatní informace</w:t>
            </w:r>
          </w:p>
          <w:p w:rsidR="00D2753C" w:rsidRPr="00562D77" w:rsidRDefault="00D2753C" w:rsidP="00D03FD2">
            <w:pPr>
              <w:spacing w:after="60"/>
              <w:rPr>
                <w:rFonts w:asciiTheme="minorHAnsi" w:hAnsiTheme="minorHAnsi" w:cstheme="minorHAnsi"/>
                <w:sz w:val="20"/>
              </w:rPr>
            </w:pPr>
            <w:r w:rsidRPr="00562D77">
              <w:rPr>
                <w:rFonts w:asciiTheme="minorHAnsi" w:hAnsiTheme="minorHAnsi" w:cstheme="minorHAnsi"/>
                <w:sz w:val="16"/>
              </w:rPr>
              <w:t>(signalizovaná rizika, fázování apod.)</w:t>
            </w:r>
          </w:p>
        </w:tc>
        <w:tc>
          <w:tcPr>
            <w:tcW w:w="7503" w:type="dxa"/>
            <w:gridSpan w:val="5"/>
          </w:tcPr>
          <w:p w:rsidR="00B26E8B" w:rsidRDefault="009E4474" w:rsidP="0035140A">
            <w:pPr>
              <w:spacing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E447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Rizikem identifikovaným v průběhu projektu bylo riziko porušení rozpočtové kázně (PRK), které vznikalo zejména při pochybení ve VZ. Důsledkem uvedeného rizika byla následná </w:t>
            </w:r>
            <w:proofErr w:type="spellStart"/>
            <w:r w:rsidRPr="009E447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neuznatelnost</w:t>
            </w:r>
            <w:proofErr w:type="spellEnd"/>
            <w:r w:rsidRPr="009E447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již vynaložených nákladů jako nezpůsobilých tj. jejich úhrada z vlastních zdrojů, ale také ponížení dotace o tyto neuznané náklady a následná pokuta udělovaná ŘO za PRK. Tomuto riziku bylo možno předcházet pouze velmi důslednou přípravou a kontrolou VZ v celém jejím průběhu, následná opatření byla neúčinná.  </w:t>
            </w:r>
          </w:p>
          <w:p w:rsidR="00D2753C" w:rsidRPr="009E4474" w:rsidRDefault="009E4474" w:rsidP="0035140A">
            <w:pPr>
              <w:spacing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390512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u w:val="single"/>
              </w:rPr>
              <w:t>Aktuáln</w:t>
            </w:r>
            <w:r w:rsidR="0035140A" w:rsidRPr="00390512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u w:val="single"/>
              </w:rPr>
              <w:t>í</w:t>
            </w:r>
            <w:r w:rsidRPr="00390512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u w:val="single"/>
              </w:rPr>
              <w:t xml:space="preserve"> věci v řešení (ŘO)</w:t>
            </w:r>
            <w:r w:rsidR="0035140A" w:rsidRPr="00390512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u w:val="single"/>
              </w:rPr>
              <w:t>:</w:t>
            </w:r>
            <w:r w:rsidR="0035140A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 z</w:t>
            </w:r>
            <w:r w:rsidRPr="009E4474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ávěrečná monitorovací zpráva a závěrečná žádost o platbu bude předložena na ŘO ke kontrole </w:t>
            </w:r>
            <w:r w:rsidR="0035140A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28. 2. 2015</w:t>
            </w:r>
            <w:r w:rsidR="00390512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 (budou známy závazné hodnoty monitorovacích indikátorů k 31. 12. 2014 (ukončení projektu)</w:t>
            </w:r>
            <w:r w:rsidRPr="009E4474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  <w:tr w:rsidR="00A431A3" w:rsidTr="00A93E77">
        <w:tc>
          <w:tcPr>
            <w:tcW w:w="9606" w:type="dxa"/>
            <w:gridSpan w:val="6"/>
            <w:shd w:val="clear" w:color="auto" w:fill="404040" w:themeFill="text1" w:themeFillTint="BF"/>
          </w:tcPr>
          <w:p w:rsidR="00A431A3" w:rsidRPr="00562D77" w:rsidRDefault="00A431A3" w:rsidP="00A431A3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62D77"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Udržitelnost projektu</w:t>
            </w:r>
          </w:p>
        </w:tc>
      </w:tr>
      <w:tr w:rsidR="002A102B" w:rsidTr="00A93E77">
        <w:tc>
          <w:tcPr>
            <w:tcW w:w="2103" w:type="dxa"/>
          </w:tcPr>
          <w:p w:rsidR="002A102B" w:rsidRPr="00562D77" w:rsidRDefault="00AD65D3" w:rsidP="00C62774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Zdroje pro úhradu provozních nákladů</w:t>
            </w:r>
            <w:r w:rsidRPr="00562D77" w:rsidDel="00AD65D3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</w:p>
        </w:tc>
        <w:tc>
          <w:tcPr>
            <w:tcW w:w="7503" w:type="dxa"/>
            <w:gridSpan w:val="5"/>
          </w:tcPr>
          <w:p w:rsidR="002A102B" w:rsidRPr="00306F64" w:rsidRDefault="00DF35CF" w:rsidP="00DF35CF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>Dosavadní smluvní výzkum: 31</w:t>
            </w:r>
            <w:r w:rsidR="00C62774">
              <w:rPr>
                <w:rFonts w:asciiTheme="minorHAnsi" w:hAnsiTheme="minorHAnsi" w:cstheme="minorHAnsi"/>
                <w:sz w:val="18"/>
                <w:szCs w:val="18"/>
              </w:rPr>
              <w:t xml:space="preserve">.4 mil. Kč. </w:t>
            </w: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>(2011-2013), za rok 2014</w:t>
            </w:r>
            <w:r w:rsidR="00C62774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>Předpokládaný smluvní výzkum p</w:t>
            </w:r>
            <w:r w:rsidR="00C62774">
              <w:rPr>
                <w:rFonts w:asciiTheme="minorHAnsi" w:hAnsiTheme="minorHAnsi" w:cstheme="minorHAnsi"/>
                <w:sz w:val="18"/>
                <w:szCs w:val="18"/>
              </w:rPr>
              <w:t>o realizaci projektu: 20,2 mil</w:t>
            </w: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C62774">
              <w:rPr>
                <w:rFonts w:asciiTheme="minorHAnsi" w:hAnsiTheme="minorHAnsi" w:cstheme="minorHAnsi"/>
                <w:sz w:val="18"/>
                <w:szCs w:val="18"/>
              </w:rPr>
              <w:t xml:space="preserve"> Kč</w:t>
            </w:r>
            <w:r w:rsidR="00DB421A">
              <w:rPr>
                <w:rFonts w:asciiTheme="minorHAnsi" w:hAnsiTheme="minorHAnsi" w:cstheme="minorHAnsi"/>
                <w:sz w:val="18"/>
                <w:szCs w:val="18"/>
              </w:rPr>
              <w:t xml:space="preserve"> k </w:t>
            </w:r>
            <w:proofErr w:type="gramStart"/>
            <w:r w:rsidR="00DB421A">
              <w:rPr>
                <w:rFonts w:asciiTheme="minorHAnsi" w:hAnsiTheme="minorHAnsi" w:cstheme="minorHAnsi"/>
                <w:sz w:val="18"/>
                <w:szCs w:val="18"/>
              </w:rPr>
              <w:t>31.12.2014</w:t>
            </w:r>
            <w:proofErr w:type="gramEnd"/>
            <w:r w:rsidR="00DB421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  <w:tr w:rsidR="00306F64" w:rsidTr="00157FCB">
        <w:tc>
          <w:tcPr>
            <w:tcW w:w="2103" w:type="dxa"/>
          </w:tcPr>
          <w:p w:rsidR="00306F64" w:rsidRPr="00562D77" w:rsidRDefault="00306F64" w:rsidP="00C62774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Požadavky na podporu z</w:t>
            </w:r>
            <w:r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562D77">
              <w:rPr>
                <w:rFonts w:asciiTheme="minorHAnsi" w:hAnsiTheme="minorHAnsi" w:cstheme="minorHAnsi"/>
                <w:b/>
                <w:sz w:val="22"/>
              </w:rPr>
              <w:t>NPU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(po dobu udržitelnosti)</w:t>
            </w:r>
          </w:p>
        </w:tc>
        <w:tc>
          <w:tcPr>
            <w:tcW w:w="7503" w:type="dxa"/>
            <w:gridSpan w:val="5"/>
          </w:tcPr>
          <w:p w:rsidR="00306F64" w:rsidRPr="00B6615E" w:rsidRDefault="003F3CDC" w:rsidP="00306F64">
            <w:pPr>
              <w:tabs>
                <w:tab w:val="left" w:pos="1875"/>
              </w:tabs>
              <w:rPr>
                <w:rFonts w:cs="Times New Roman"/>
                <w:sz w:val="18"/>
                <w:szCs w:val="18"/>
              </w:rPr>
            </w:pPr>
            <w:r w:rsidRPr="00B6615E">
              <w:rPr>
                <w:rFonts w:cs="Times New Roman"/>
                <w:sz w:val="18"/>
                <w:szCs w:val="18"/>
              </w:rPr>
              <w:t>Ve tř</w:t>
            </w:r>
            <w:r w:rsidR="00B6615E" w:rsidRPr="00B6615E">
              <w:rPr>
                <w:rFonts w:cs="Times New Roman"/>
                <w:sz w:val="18"/>
                <w:szCs w:val="18"/>
              </w:rPr>
              <w:t xml:space="preserve">etí výzvě NPU I byla centru přiznána podpora ve výši 56,4 mil. Kč. </w:t>
            </w:r>
          </w:p>
        </w:tc>
      </w:tr>
      <w:tr w:rsidR="009E437E" w:rsidTr="00A93E77">
        <w:tc>
          <w:tcPr>
            <w:tcW w:w="2103" w:type="dxa"/>
          </w:tcPr>
          <w:p w:rsidR="009E437E" w:rsidRPr="00562D77" w:rsidRDefault="009E437E" w:rsidP="00C62774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Monitorovací indikátory v období udržitelnosti</w:t>
            </w:r>
          </w:p>
        </w:tc>
        <w:tc>
          <w:tcPr>
            <w:tcW w:w="7503" w:type="dxa"/>
            <w:gridSpan w:val="5"/>
          </w:tcPr>
          <w:p w:rsidR="00C62774" w:rsidRPr="00DF35CF" w:rsidRDefault="00C62774" w:rsidP="00C62774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>Současný počet výzkumníků: 90 osob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28,08 FTE (rok 2014)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 xml:space="preserve">Kvalifikační struktura: 2x vedoucí VP, 20x senior </w:t>
            </w:r>
            <w:proofErr w:type="spellStart"/>
            <w:r w:rsidRPr="00DF35CF">
              <w:rPr>
                <w:rFonts w:asciiTheme="minorHAnsi" w:hAnsiTheme="minorHAnsi" w:cstheme="minorHAnsi"/>
                <w:sz w:val="18"/>
                <w:szCs w:val="18"/>
              </w:rPr>
              <w:t>researcher</w:t>
            </w:r>
            <w:proofErr w:type="spellEnd"/>
            <w:r w:rsidRPr="00DF35CF">
              <w:rPr>
                <w:rFonts w:asciiTheme="minorHAnsi" w:hAnsiTheme="minorHAnsi" w:cstheme="minorHAnsi"/>
                <w:sz w:val="18"/>
                <w:szCs w:val="18"/>
              </w:rPr>
              <w:t xml:space="preserve">, 32x junior </w:t>
            </w:r>
            <w:proofErr w:type="spellStart"/>
            <w:r w:rsidRPr="00DF35CF">
              <w:rPr>
                <w:rFonts w:asciiTheme="minorHAnsi" w:hAnsiTheme="minorHAnsi" w:cstheme="minorHAnsi"/>
                <w:sz w:val="18"/>
                <w:szCs w:val="18"/>
              </w:rPr>
              <w:t>res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earcher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36x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Ph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. D. student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:rsidR="00C62774" w:rsidRDefault="00C62774" w:rsidP="00C62774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 xml:space="preserve">Plánovaný počet výzkumníků: udržení stávajícího stavu a údajů v TA,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tj. 29 FTE v roce 2015. </w:t>
            </w: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>Kvalifikační struktura: udr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žení stávajícího stavu. </w:t>
            </w:r>
          </w:p>
          <w:p w:rsidR="00C62774" w:rsidRDefault="00C62774" w:rsidP="00C62774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>Zahraniční výzkumníci v současno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sti zapojení do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výzkumu : 0.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>Projektem plánovaní zahraniční v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ýzkumníci po realizaci projektu</w:t>
            </w: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>: 1-2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9E437E" w:rsidRPr="00306F64" w:rsidRDefault="00C62774" w:rsidP="00C62774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Centrum má problém s plněním indikátoru: </w:t>
            </w: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>počet úspěšných absolventů magisterských studijních programů a smluvní výzkum. Z široké argumentace proč je nereálné např. úspěšné plnění počtu magisterských studentů, patří např. i fakt, že celkový počet všech studentů se na zdejší fakultě od doby, kdy byly tyto indikátory při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jaty, snížil o 50 %.</w:t>
            </w:r>
          </w:p>
        </w:tc>
        <w:bookmarkStart w:id="0" w:name="_GoBack"/>
        <w:bookmarkEnd w:id="0"/>
      </w:tr>
      <w:tr w:rsidR="00D2753C" w:rsidTr="00A93E77">
        <w:tc>
          <w:tcPr>
            <w:tcW w:w="2103" w:type="dxa"/>
          </w:tcPr>
          <w:p w:rsidR="00D2753C" w:rsidRPr="00562D77" w:rsidRDefault="009E437E" w:rsidP="00C62774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Hodnocení výzkumného centra</w:t>
            </w:r>
          </w:p>
        </w:tc>
        <w:tc>
          <w:tcPr>
            <w:tcW w:w="7503" w:type="dxa"/>
            <w:gridSpan w:val="5"/>
          </w:tcPr>
          <w:p w:rsidR="00DF35CF" w:rsidRDefault="00C62774" w:rsidP="00DF35CF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</w:t>
            </w:r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>entrum ICT – Institut čistých technologií těžby a užití energetických surovin, které je začleněno do Hornicko-geologické fakulty. Centrum ICT nerealizovalo žádnou stavbu, jenom menší stavební úpravy a větší část dotace cca 196 mil. Kč z celkové částky cca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294 mil Kč</w:t>
            </w:r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 xml:space="preserve"> využili pro zakoupení moderní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výzkumné</w:t>
            </w:r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 xml:space="preserve"> infrastruktury.  </w:t>
            </w:r>
          </w:p>
          <w:p w:rsidR="00DB421A" w:rsidRPr="00DF35CF" w:rsidRDefault="00DB421A" w:rsidP="00DF35CF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B421A">
              <w:rPr>
                <w:rFonts w:asciiTheme="minorHAnsi" w:hAnsiTheme="minorHAnsi" w:cstheme="minorHAnsi"/>
                <w:sz w:val="18"/>
                <w:szCs w:val="18"/>
              </w:rPr>
              <w:t xml:space="preserve">Z přístrojového vybavení je průlomovým zařízením počítačový tomograf, který spolu s klasickými metodami výrazně zlepší možnosti výzkumu </w:t>
            </w:r>
            <w:proofErr w:type="spellStart"/>
            <w:r w:rsidRPr="00DB421A">
              <w:rPr>
                <w:rFonts w:asciiTheme="minorHAnsi" w:hAnsiTheme="minorHAnsi" w:cstheme="minorHAnsi"/>
                <w:sz w:val="18"/>
                <w:szCs w:val="18"/>
              </w:rPr>
              <w:t>geomateriálu</w:t>
            </w:r>
            <w:proofErr w:type="spellEnd"/>
            <w:r w:rsidRPr="00DB421A">
              <w:rPr>
                <w:rFonts w:asciiTheme="minorHAnsi" w:hAnsiTheme="minorHAnsi" w:cstheme="minorHAnsi"/>
                <w:sz w:val="18"/>
                <w:szCs w:val="18"/>
              </w:rPr>
              <w:t xml:space="preserve"> při interakci s vnějším prostředím. Toto zařízení je nejdražší investicí a jeho cena jako jediná převyšuje hranici 20 mil. Kč.</w:t>
            </w:r>
          </w:p>
          <w:p w:rsidR="00D2753C" w:rsidRPr="00306F64" w:rsidRDefault="00DF35CF" w:rsidP="00C62774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F35CF">
              <w:rPr>
                <w:rFonts w:asciiTheme="minorHAnsi" w:hAnsiTheme="minorHAnsi" w:cstheme="minorHAnsi"/>
                <w:sz w:val="18"/>
                <w:szCs w:val="18"/>
              </w:rPr>
              <w:t xml:space="preserve">Po velmi zajímavé prohlídce pracovišť centra ICT jsme se věnovali problematice udržitelnosti centra. Podobně jako v jiných centrech i zde patří k rizikovým indikátorům </w:t>
            </w:r>
          </w:p>
        </w:tc>
      </w:tr>
      <w:tr w:rsidR="00D2753C" w:rsidTr="00A93E77">
        <w:tc>
          <w:tcPr>
            <w:tcW w:w="2103" w:type="dxa"/>
          </w:tcPr>
          <w:p w:rsidR="00D2753C" w:rsidRPr="00562D77" w:rsidRDefault="00D2753C" w:rsidP="00C62774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Poznatky z návštěvy týmu zmocněnce pro udržitelnost</w:t>
            </w:r>
          </w:p>
        </w:tc>
        <w:tc>
          <w:tcPr>
            <w:tcW w:w="7503" w:type="dxa"/>
            <w:gridSpan w:val="5"/>
          </w:tcPr>
          <w:p w:rsidR="00DF35CF" w:rsidRPr="00DF35CF" w:rsidRDefault="00C62774" w:rsidP="00DF35CF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6277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Tuzemští partneři centra: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 xml:space="preserve">Česká geologická služba, </w:t>
            </w:r>
            <w:proofErr w:type="spellStart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>Diamo</w:t>
            </w:r>
            <w:proofErr w:type="spellEnd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>s.p</w:t>
            </w:r>
            <w:proofErr w:type="spellEnd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proofErr w:type="gramEnd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 xml:space="preserve">, Sedlecký kaolin a.s., RPS Ostrava a.s., </w:t>
            </w:r>
            <w:proofErr w:type="spellStart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>Watrad</w:t>
            </w:r>
            <w:proofErr w:type="spellEnd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 xml:space="preserve"> spol. s.r.o.; SURAO; MND a řada dalších</w:t>
            </w:r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:rsidR="00D2753C" w:rsidRPr="00306F64" w:rsidRDefault="00C62774" w:rsidP="00DB421A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6277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Zahraniční partneři centra:</w:t>
            </w:r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proofErr w:type="spellStart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>Montannuniversitaet</w:t>
            </w:r>
            <w:proofErr w:type="spellEnd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>Leoben</w:t>
            </w:r>
            <w:proofErr w:type="spellEnd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 xml:space="preserve">; TU </w:t>
            </w:r>
            <w:proofErr w:type="spellStart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>Bergakademie</w:t>
            </w:r>
            <w:proofErr w:type="spellEnd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>Freiberg</w:t>
            </w:r>
            <w:proofErr w:type="spellEnd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 xml:space="preserve">; Nafta Gbely, </w:t>
            </w:r>
            <w:proofErr w:type="spellStart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>Politechnika</w:t>
            </w:r>
            <w:proofErr w:type="spellEnd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>Slaska</w:t>
            </w:r>
            <w:proofErr w:type="spellEnd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 xml:space="preserve"> w </w:t>
            </w:r>
            <w:proofErr w:type="spellStart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>Gliwicach</w:t>
            </w:r>
            <w:proofErr w:type="spellEnd"/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>, Polsko a řada dalších</w:t>
            </w:r>
            <w:r w:rsidR="00DB421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DB421A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DB421A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DB421A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DF35CF" w:rsidRPr="00DF35CF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</w:tr>
      <w:tr w:rsidR="00D2753C" w:rsidTr="00A93E77">
        <w:tc>
          <w:tcPr>
            <w:tcW w:w="2103" w:type="dxa"/>
          </w:tcPr>
          <w:p w:rsidR="00D2753C" w:rsidRPr="00562D77" w:rsidRDefault="00D2753C" w:rsidP="00C62774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Zařazení projektu do rizikové skupiny</w:t>
            </w:r>
            <w:r w:rsidR="00C43F6D" w:rsidRPr="00562D77">
              <w:rPr>
                <w:rFonts w:asciiTheme="minorHAnsi" w:hAnsiTheme="minorHAnsi" w:cstheme="minorHAnsi"/>
                <w:b/>
                <w:sz w:val="22"/>
              </w:rPr>
              <w:t xml:space="preserve"> z hlediska udržitelnosti</w:t>
            </w:r>
          </w:p>
        </w:tc>
        <w:tc>
          <w:tcPr>
            <w:tcW w:w="7503" w:type="dxa"/>
            <w:gridSpan w:val="5"/>
          </w:tcPr>
          <w:p w:rsidR="00D2753C" w:rsidRPr="00306F64" w:rsidRDefault="00C6277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</w:p>
        </w:tc>
      </w:tr>
      <w:tr w:rsidR="00D2753C" w:rsidTr="00A93E77">
        <w:tc>
          <w:tcPr>
            <w:tcW w:w="2103" w:type="dxa"/>
          </w:tcPr>
          <w:p w:rsidR="00D2753C" w:rsidRDefault="00D2753C" w:rsidP="00C62774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Poznámka</w:t>
            </w:r>
          </w:p>
          <w:p w:rsidR="00783E42" w:rsidRPr="00562D77" w:rsidRDefault="00783E42" w:rsidP="00C62774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7503" w:type="dxa"/>
            <w:gridSpan w:val="5"/>
          </w:tcPr>
          <w:p w:rsidR="00D2753C" w:rsidRPr="00306F64" w:rsidRDefault="00D2753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6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6"/>
  </w:num>
  <w:num w:numId="15">
    <w:abstractNumId w:val="1"/>
  </w:num>
  <w:num w:numId="16">
    <w:abstractNumId w:val="6"/>
  </w:num>
  <w:num w:numId="17">
    <w:abstractNumId w:val="6"/>
  </w:num>
  <w:num w:numId="18">
    <w:abstractNumId w:val="11"/>
  </w:num>
  <w:num w:numId="19">
    <w:abstractNumId w:val="0"/>
  </w:num>
  <w:num w:numId="20">
    <w:abstractNumId w:val="8"/>
  </w:num>
  <w:num w:numId="21">
    <w:abstractNumId w:val="9"/>
  </w:num>
  <w:num w:numId="22">
    <w:abstractNumId w:val="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C5"/>
    <w:rsid w:val="00002DBE"/>
    <w:rsid w:val="00041C26"/>
    <w:rsid w:val="0004245B"/>
    <w:rsid w:val="0005178F"/>
    <w:rsid w:val="000A69DE"/>
    <w:rsid w:val="000B7BB7"/>
    <w:rsid w:val="000F0945"/>
    <w:rsid w:val="0010270A"/>
    <w:rsid w:val="00123F0C"/>
    <w:rsid w:val="00135BFC"/>
    <w:rsid w:val="0018459D"/>
    <w:rsid w:val="001845D5"/>
    <w:rsid w:val="001A4E45"/>
    <w:rsid w:val="001B09DB"/>
    <w:rsid w:val="001B2134"/>
    <w:rsid w:val="00235AE1"/>
    <w:rsid w:val="002A102B"/>
    <w:rsid w:val="002B4A3E"/>
    <w:rsid w:val="002C69A4"/>
    <w:rsid w:val="003013A1"/>
    <w:rsid w:val="00306F64"/>
    <w:rsid w:val="0035140A"/>
    <w:rsid w:val="00390512"/>
    <w:rsid w:val="003A4D09"/>
    <w:rsid w:val="003B70AF"/>
    <w:rsid w:val="003C50CA"/>
    <w:rsid w:val="003D4E21"/>
    <w:rsid w:val="003F3CDC"/>
    <w:rsid w:val="00416726"/>
    <w:rsid w:val="00431B1E"/>
    <w:rsid w:val="004C4832"/>
    <w:rsid w:val="004D6F6B"/>
    <w:rsid w:val="00500997"/>
    <w:rsid w:val="0052281E"/>
    <w:rsid w:val="00526313"/>
    <w:rsid w:val="00535653"/>
    <w:rsid w:val="00562D77"/>
    <w:rsid w:val="00595603"/>
    <w:rsid w:val="005D613D"/>
    <w:rsid w:val="005F27AE"/>
    <w:rsid w:val="00642A7D"/>
    <w:rsid w:val="00667FFA"/>
    <w:rsid w:val="00686EA8"/>
    <w:rsid w:val="007011BD"/>
    <w:rsid w:val="00737A93"/>
    <w:rsid w:val="00742563"/>
    <w:rsid w:val="00774A9C"/>
    <w:rsid w:val="00783E42"/>
    <w:rsid w:val="007A4060"/>
    <w:rsid w:val="007A62D7"/>
    <w:rsid w:val="007C6CA0"/>
    <w:rsid w:val="0081225A"/>
    <w:rsid w:val="0081392A"/>
    <w:rsid w:val="008146D9"/>
    <w:rsid w:val="008353DD"/>
    <w:rsid w:val="008968D5"/>
    <w:rsid w:val="008B0CC1"/>
    <w:rsid w:val="009360DE"/>
    <w:rsid w:val="009372B3"/>
    <w:rsid w:val="009373D8"/>
    <w:rsid w:val="009967CD"/>
    <w:rsid w:val="009B7C17"/>
    <w:rsid w:val="009E437E"/>
    <w:rsid w:val="009E4474"/>
    <w:rsid w:val="00A0019C"/>
    <w:rsid w:val="00A431A3"/>
    <w:rsid w:val="00A74241"/>
    <w:rsid w:val="00A7545D"/>
    <w:rsid w:val="00A93E77"/>
    <w:rsid w:val="00AA442B"/>
    <w:rsid w:val="00AD65D3"/>
    <w:rsid w:val="00AE72C5"/>
    <w:rsid w:val="00AF6EBB"/>
    <w:rsid w:val="00B03F7A"/>
    <w:rsid w:val="00B07516"/>
    <w:rsid w:val="00B26E8B"/>
    <w:rsid w:val="00B31B5B"/>
    <w:rsid w:val="00B6615E"/>
    <w:rsid w:val="00B96AF3"/>
    <w:rsid w:val="00BD1371"/>
    <w:rsid w:val="00C217DD"/>
    <w:rsid w:val="00C43F6D"/>
    <w:rsid w:val="00C56390"/>
    <w:rsid w:val="00C62774"/>
    <w:rsid w:val="00C62CED"/>
    <w:rsid w:val="00C92258"/>
    <w:rsid w:val="00CC6243"/>
    <w:rsid w:val="00D02D7C"/>
    <w:rsid w:val="00D03FD2"/>
    <w:rsid w:val="00D2753C"/>
    <w:rsid w:val="00D93717"/>
    <w:rsid w:val="00DA1E36"/>
    <w:rsid w:val="00DA6654"/>
    <w:rsid w:val="00DA7033"/>
    <w:rsid w:val="00DB421A"/>
    <w:rsid w:val="00DD26D3"/>
    <w:rsid w:val="00DF35CF"/>
    <w:rsid w:val="00E02DA3"/>
    <w:rsid w:val="00E05352"/>
    <w:rsid w:val="00E20092"/>
    <w:rsid w:val="00E35E31"/>
    <w:rsid w:val="00E43C3D"/>
    <w:rsid w:val="00E71CB7"/>
    <w:rsid w:val="00EC3BBE"/>
    <w:rsid w:val="00EE2A12"/>
    <w:rsid w:val="00F0067F"/>
    <w:rsid w:val="00F34368"/>
    <w:rsid w:val="00F74C5F"/>
    <w:rsid w:val="00F82670"/>
    <w:rsid w:val="00F9010E"/>
    <w:rsid w:val="00FA0F95"/>
    <w:rsid w:val="00FD3750"/>
    <w:rsid w:val="00FE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5FD38-C897-44F0-8396-816B1AFA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styleId="slovanseznam">
    <w:name w:val="List Number"/>
    <w:basedOn w:val="Normln"/>
    <w:rsid w:val="00FE458C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2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35E70-3080-4A71-AF55-3337B213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1191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Jaromír Veber</cp:lastModifiedBy>
  <cp:revision>3</cp:revision>
  <dcterms:created xsi:type="dcterms:W3CDTF">2015-03-22T17:14:00Z</dcterms:created>
  <dcterms:modified xsi:type="dcterms:W3CDTF">2015-03-22T17:21:00Z</dcterms:modified>
</cp:coreProperties>
</file>